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heme="minorEastAsia" w:hAnsiTheme="minorEastAsia" w:eastAsiaTheme="minorEastAsia" w:cstheme="minorEastAsia"/>
          <w:sz w:val="44"/>
          <w:szCs w:val="44"/>
        </w:rPr>
      </w:pPr>
    </w:p>
    <w:p>
      <w:pPr>
        <w:ind w:firstLine="880" w:firstLineChars="200"/>
        <w:rPr>
          <w:rFonts w:asciiTheme="minorEastAsia" w:hAnsiTheme="minorEastAsia" w:eastAsiaTheme="minorEastAsia" w:cstheme="minorEastAsia"/>
          <w:sz w:val="44"/>
          <w:szCs w:val="44"/>
        </w:rPr>
      </w:pPr>
    </w:p>
    <w:p>
      <w:pPr>
        <w:pStyle w:val="11"/>
        <w:rPr>
          <w:rFonts w:ascii="宋体" w:hAnsi="宋体" w:eastAsia="宋体"/>
          <w:b w:val="0"/>
          <w:sz w:val="44"/>
          <w:szCs w:val="44"/>
        </w:rPr>
      </w:pPr>
      <w:bookmarkStart w:id="0" w:name="_Toc78896646"/>
      <w:bookmarkStart w:id="1" w:name="_Toc493063599"/>
      <w:r>
        <w:rPr>
          <w:rFonts w:hint="eastAsia" w:ascii="宋体" w:hAnsi="宋体" w:eastAsia="宋体"/>
          <w:b w:val="0"/>
          <w:sz w:val="44"/>
          <w:szCs w:val="44"/>
        </w:rPr>
        <w:t>安全生产监督罚款管理暂行办法</w:t>
      </w:r>
      <w:bookmarkEnd w:id="0"/>
      <w:bookmarkEnd w:id="1"/>
    </w:p>
    <w:p>
      <w:pPr>
        <w:pStyle w:val="6"/>
        <w:spacing w:before="156" w:after="312"/>
        <w:ind w:firstLine="640" w:firstLineChars="200"/>
        <w:rPr>
          <w:rFonts w:ascii="楷体_GB2312" w:hAnsi="宋体" w:eastAsia="楷体_GB2312"/>
        </w:rPr>
      </w:pPr>
      <w:r>
        <w:rPr>
          <w:rFonts w:hint="eastAsia" w:ascii="楷体_GB2312" w:hAnsi="宋体" w:eastAsia="楷体_GB2312"/>
        </w:rPr>
        <w:t>（2004年11月3日国家安全生产监督管理局</w:t>
      </w:r>
      <w:bookmarkStart w:id="2" w:name="_Hlk88833959"/>
      <w:r>
        <w:rPr>
          <w:rFonts w:hint="eastAsia" w:ascii="楷体_GB2312" w:hAnsi="宋体" w:eastAsia="楷体_GB2312"/>
        </w:rPr>
        <w:t>（国家煤矿安全监察局）</w:t>
      </w:r>
      <w:bookmarkEnd w:id="2"/>
      <w:r>
        <w:rPr>
          <w:rFonts w:hint="eastAsia" w:ascii="楷体_GB2312" w:hAnsi="宋体" w:eastAsia="楷体_GB2312"/>
        </w:rPr>
        <w:t>令第15号公布，自公布之日起施行）</w:t>
      </w:r>
    </w:p>
    <w:p>
      <w:pPr>
        <w:ind w:firstLine="640" w:firstLineChars="200"/>
      </w:pPr>
    </w:p>
    <w:p>
      <w:pPr>
        <w:ind w:firstLine="640" w:firstLineChars="200"/>
        <w:rPr>
          <w:rFonts w:ascii="宋体"/>
        </w:rPr>
      </w:pPr>
      <w:r>
        <w:rPr>
          <w:rFonts w:hint="eastAsia" w:ascii="宋体" w:hAnsi="宋体" w:eastAsia="黑体"/>
          <w:bCs/>
        </w:rPr>
        <w:t>第一条</w:t>
      </w:r>
      <w:r>
        <w:rPr>
          <w:rFonts w:hint="eastAsia" w:ascii="宋体" w:hAnsi="宋体"/>
          <w:b/>
        </w:rPr>
        <w:t>　</w:t>
      </w:r>
      <w:r>
        <w:rPr>
          <w:rFonts w:hint="eastAsia" w:ascii="宋体" w:hAnsi="宋体"/>
        </w:rPr>
        <w:t>为加强安全生产监督罚款管理工作，依法实施安全生产综合监督管理，根据《安全生产法》、《罚款决定与罚款收缴分离实施办法》和《财政部关于做好安全生产监督有关罚款收入管理工作的通知》等法律、法规和有关规定，制定本办法。</w:t>
      </w:r>
    </w:p>
    <w:p>
      <w:pPr>
        <w:ind w:firstLine="640" w:firstLineChars="200"/>
        <w:rPr>
          <w:rFonts w:ascii="宋体"/>
        </w:rPr>
      </w:pPr>
      <w:r>
        <w:rPr>
          <w:rFonts w:hint="eastAsia" w:ascii="宋体" w:hAnsi="宋体" w:eastAsia="黑体"/>
          <w:bCs/>
        </w:rPr>
        <w:t>第二条</w:t>
      </w:r>
      <w:r>
        <w:rPr>
          <w:rFonts w:hint="eastAsia" w:ascii="宋体" w:hAnsi="宋体"/>
          <w:b/>
        </w:rPr>
        <w:t>　</w:t>
      </w:r>
      <w:r>
        <w:rPr>
          <w:rFonts w:hint="eastAsia" w:ascii="宋体" w:hAnsi="宋体"/>
        </w:rPr>
        <w:t>县级以上人民政府安全生产监督管理部门（以下简称安全生产监督管理部门）对生产经营单位及其有关人员在生产经营活动中违反安全生产的法律、行政法规、部门规章、国家标准、行业标准和规程的违法行为（以下简称安全生产违法行为）依法实施罚款，适用本办法。</w:t>
      </w:r>
    </w:p>
    <w:p>
      <w:pPr>
        <w:ind w:firstLine="640" w:firstLineChars="200"/>
        <w:rPr>
          <w:rFonts w:ascii="宋体"/>
        </w:rPr>
      </w:pPr>
      <w:r>
        <w:rPr>
          <w:rFonts w:hint="eastAsia" w:ascii="宋体" w:hAnsi="宋体" w:eastAsia="黑体"/>
          <w:bCs/>
        </w:rPr>
        <w:t>第三条</w:t>
      </w:r>
      <w:r>
        <w:rPr>
          <w:rFonts w:hint="eastAsia" w:ascii="宋体" w:hAnsi="宋体"/>
          <w:b/>
        </w:rPr>
        <w:t>　</w:t>
      </w:r>
      <w:r>
        <w:rPr>
          <w:rFonts w:hint="eastAsia" w:ascii="宋体" w:hAnsi="宋体"/>
        </w:rPr>
        <w:t>安全生产监督罚款实行处罚决定与罚款收缴分离。</w:t>
      </w:r>
    </w:p>
    <w:p>
      <w:pPr>
        <w:ind w:firstLine="640" w:firstLineChars="200"/>
        <w:rPr>
          <w:rFonts w:ascii="宋体"/>
        </w:rPr>
      </w:pPr>
      <w:r>
        <w:rPr>
          <w:rFonts w:hint="eastAsia" w:ascii="宋体" w:hAnsi="宋体"/>
        </w:rPr>
        <w:t>安全生产监督管理部门按照有关规定，对安全生产违法行为实施罚款，开具安全生产监督管理行政处罚决定书；被处罚人持安全生产监督管理部门开具的行政处罚决定书到指定的代收银行及其分支机构缴纳罚款。</w:t>
      </w:r>
    </w:p>
    <w:p>
      <w:pPr>
        <w:ind w:firstLine="640" w:firstLineChars="200"/>
        <w:rPr>
          <w:rFonts w:ascii="宋体"/>
        </w:rPr>
      </w:pPr>
      <w:r>
        <w:rPr>
          <w:rFonts w:hint="eastAsia" w:ascii="宋体" w:hAnsi="宋体"/>
        </w:rPr>
        <w:t>罚款代收银行的确定以及会计科目的使用应严格按照财政部《罚款代收代缴管理办法》和其他有关规定办理。代收银行的代收手续费按照《财政部、中国人民银行关于代收罚款手续费有关问题的通知》的规定执行。</w:t>
      </w:r>
    </w:p>
    <w:p>
      <w:pPr>
        <w:ind w:firstLine="640" w:firstLineChars="200"/>
        <w:rPr>
          <w:rFonts w:ascii="宋体"/>
        </w:rPr>
      </w:pPr>
      <w:r>
        <w:rPr>
          <w:rFonts w:hint="eastAsia" w:ascii="宋体" w:hAnsi="宋体" w:eastAsia="黑体"/>
          <w:bCs/>
        </w:rPr>
        <w:t>第四条</w:t>
      </w:r>
      <w:r>
        <w:rPr>
          <w:rFonts w:hint="eastAsia" w:ascii="宋体" w:hAnsi="宋体"/>
          <w:b/>
        </w:rPr>
        <w:t>　</w:t>
      </w:r>
      <w:r>
        <w:rPr>
          <w:rFonts w:hint="eastAsia" w:ascii="宋体" w:hAnsi="宋体"/>
        </w:rPr>
        <w:t>罚款票据使用省、自治区、直辖市财政部门统一印制的罚款收据，并由代收银行负责管理。</w:t>
      </w:r>
    </w:p>
    <w:p>
      <w:pPr>
        <w:ind w:firstLine="640" w:firstLineChars="200"/>
        <w:rPr>
          <w:rFonts w:ascii="宋体"/>
        </w:rPr>
      </w:pPr>
      <w:r>
        <w:rPr>
          <w:rFonts w:hint="eastAsia" w:ascii="宋体" w:hAnsi="宋体"/>
        </w:rPr>
        <w:t>安全生产监督管理部门可领取小额罚款票据，并负责管理。罚没款票据的使用，应当符合罚款票据管理暂行规定。</w:t>
      </w:r>
    </w:p>
    <w:p>
      <w:pPr>
        <w:ind w:firstLine="640" w:firstLineChars="200"/>
        <w:rPr>
          <w:rFonts w:ascii="宋体"/>
        </w:rPr>
      </w:pPr>
      <w:r>
        <w:rPr>
          <w:rFonts w:hint="eastAsia" w:ascii="宋体" w:hAnsi="宋体"/>
        </w:rPr>
        <w:t>尚未实行银行代收的罚款，由县级以上安全生产监督管理部门统一向同级财政部门购领罚款票据，并负责本单位罚款票据的管理。</w:t>
      </w:r>
    </w:p>
    <w:p>
      <w:pPr>
        <w:ind w:firstLine="640" w:firstLineChars="200"/>
        <w:rPr>
          <w:rFonts w:ascii="宋体"/>
        </w:rPr>
      </w:pPr>
      <w:r>
        <w:rPr>
          <w:rFonts w:hint="eastAsia" w:ascii="宋体" w:hAnsi="宋体" w:eastAsia="黑体"/>
          <w:bCs/>
        </w:rPr>
        <w:t>第五条</w:t>
      </w:r>
      <w:r>
        <w:rPr>
          <w:rFonts w:hint="eastAsia" w:ascii="宋体" w:hAnsi="宋体"/>
          <w:b/>
        </w:rPr>
        <w:t>　</w:t>
      </w:r>
      <w:r>
        <w:rPr>
          <w:rFonts w:hint="eastAsia" w:ascii="宋体" w:hAnsi="宋体"/>
        </w:rPr>
        <w:t>安全生产监督罚款收入纳入同级财政预算，实行</w:t>
      </w:r>
      <w:r>
        <w:rPr>
          <w:rFonts w:hint="eastAsia" w:ascii="宋体" w:hAnsi="宋体"/>
          <w:lang w:eastAsia="zh-CN"/>
        </w:rPr>
        <w:t>“</w:t>
      </w:r>
      <w:r>
        <w:rPr>
          <w:rFonts w:hint="eastAsia" w:ascii="宋体" w:hAnsi="宋体"/>
        </w:rPr>
        <w:t>收支两条线</w:t>
      </w:r>
      <w:r>
        <w:rPr>
          <w:rFonts w:hint="eastAsia" w:ascii="宋体" w:hAnsi="宋体"/>
          <w:lang w:eastAsia="zh-CN"/>
        </w:rPr>
        <w:t>”</w:t>
      </w:r>
      <w:r>
        <w:rPr>
          <w:rFonts w:hint="eastAsia" w:ascii="宋体" w:hAnsi="宋体"/>
        </w:rPr>
        <w:t>管理。</w:t>
      </w:r>
    </w:p>
    <w:p>
      <w:pPr>
        <w:ind w:firstLine="640" w:firstLineChars="200"/>
        <w:rPr>
          <w:rFonts w:ascii="宋体"/>
        </w:rPr>
      </w:pPr>
      <w:r>
        <w:rPr>
          <w:rFonts w:hint="eastAsia" w:ascii="宋体" w:hAnsi="宋体"/>
        </w:rPr>
        <w:t>罚款缴库时间按照当地财政部门有关规定办理。</w:t>
      </w:r>
    </w:p>
    <w:p>
      <w:pPr>
        <w:ind w:firstLine="640" w:firstLineChars="200"/>
        <w:rPr>
          <w:rFonts w:ascii="宋体"/>
        </w:rPr>
      </w:pPr>
      <w:r>
        <w:rPr>
          <w:rFonts w:hint="eastAsia" w:ascii="宋体" w:hAnsi="宋体" w:eastAsia="黑体"/>
          <w:bCs/>
        </w:rPr>
        <w:t>第六条</w:t>
      </w:r>
      <w:r>
        <w:rPr>
          <w:rFonts w:hint="eastAsia" w:ascii="宋体" w:hAnsi="宋体"/>
          <w:b/>
        </w:rPr>
        <w:t>　</w:t>
      </w:r>
      <w:r>
        <w:rPr>
          <w:rFonts w:hint="eastAsia" w:ascii="宋体" w:hAnsi="宋体"/>
        </w:rPr>
        <w:t>安全生产监督管理部门定期到代收银行索取缴款票据，据以登记统计，并和安全生产监督管理行政处罚决定书核对。</w:t>
      </w:r>
    </w:p>
    <w:p>
      <w:pPr>
        <w:ind w:firstLine="640" w:firstLineChars="200"/>
        <w:rPr>
          <w:rFonts w:ascii="宋体"/>
        </w:rPr>
      </w:pPr>
      <w:r>
        <w:rPr>
          <w:rFonts w:hint="eastAsia" w:ascii="宋体" w:hAnsi="宋体"/>
        </w:rPr>
        <w:t>各地安全生产监督管理部门应于每季度终了后</w:t>
      </w:r>
      <w:r>
        <w:rPr>
          <w:rFonts w:ascii="宋体" w:hAnsi="宋体"/>
        </w:rPr>
        <w:t>7</w:t>
      </w:r>
      <w:r>
        <w:rPr>
          <w:rFonts w:hint="eastAsia" w:ascii="宋体" w:hAnsi="宋体"/>
        </w:rPr>
        <w:t>日内将罚款统计表（格式附后〔略〕）逐级上报。各省级安全生产监督管理部门应于每半年（年）终了后</w:t>
      </w:r>
      <w:r>
        <w:rPr>
          <w:rFonts w:ascii="宋体" w:hAnsi="宋体"/>
        </w:rPr>
        <w:t>15</w:t>
      </w:r>
      <w:r>
        <w:rPr>
          <w:rFonts w:hint="eastAsia" w:ascii="宋体" w:hAnsi="宋体"/>
        </w:rPr>
        <w:t>日内将罚款统计表报国家安全生产监督管理局。</w:t>
      </w:r>
    </w:p>
    <w:p>
      <w:pPr>
        <w:ind w:firstLine="640" w:firstLineChars="200"/>
        <w:rPr>
          <w:rFonts w:ascii="宋体"/>
        </w:rPr>
      </w:pPr>
      <w:r>
        <w:rPr>
          <w:rFonts w:hint="eastAsia" w:ascii="宋体" w:hAnsi="宋体" w:eastAsia="黑体"/>
          <w:bCs/>
        </w:rPr>
        <w:t>第七条</w:t>
      </w:r>
      <w:r>
        <w:rPr>
          <w:rFonts w:hint="eastAsia" w:ascii="宋体" w:hAnsi="宋体"/>
          <w:b/>
        </w:rPr>
        <w:t>　</w:t>
      </w:r>
      <w:r>
        <w:rPr>
          <w:rFonts w:hint="eastAsia" w:ascii="宋体" w:hAnsi="宋体"/>
        </w:rPr>
        <w:t>安全生产监督管理部门罚款收入的缴库情况，应接受同级财政部门的检查和监督。</w:t>
      </w:r>
    </w:p>
    <w:p>
      <w:pPr>
        <w:ind w:firstLine="640" w:firstLineChars="200"/>
        <w:rPr>
          <w:rFonts w:ascii="宋体"/>
        </w:rPr>
      </w:pPr>
      <w:r>
        <w:rPr>
          <w:rFonts w:hint="eastAsia" w:ascii="宋体" w:hAnsi="宋体" w:eastAsia="黑体"/>
          <w:bCs/>
        </w:rPr>
        <w:t>第八条</w:t>
      </w:r>
      <w:r>
        <w:rPr>
          <w:rFonts w:hint="eastAsia" w:ascii="宋体" w:hAnsi="宋体"/>
          <w:b/>
        </w:rPr>
        <w:t>　</w:t>
      </w:r>
      <w:r>
        <w:rPr>
          <w:rFonts w:hint="eastAsia" w:ascii="宋体" w:hAnsi="宋体"/>
        </w:rPr>
        <w:t>安全生产监督罚款应严格执行国家有关罚款收支管理的规定，对违反</w:t>
      </w:r>
      <w:r>
        <w:rPr>
          <w:rFonts w:hint="eastAsia" w:ascii="宋体" w:hAnsi="宋体"/>
          <w:lang w:eastAsia="zh-CN"/>
        </w:rPr>
        <w:t>“</w:t>
      </w:r>
      <w:bookmarkStart w:id="3" w:name="_GoBack"/>
      <w:r>
        <w:rPr>
          <w:rFonts w:hint="eastAsia" w:ascii="宋体" w:hAnsi="宋体"/>
        </w:rPr>
        <w:t>收支两条线</w:t>
      </w:r>
      <w:bookmarkEnd w:id="3"/>
      <w:r>
        <w:rPr>
          <w:rFonts w:hint="eastAsia" w:ascii="宋体" w:hAnsi="宋体"/>
          <w:lang w:eastAsia="zh-CN"/>
        </w:rPr>
        <w:t>”</w:t>
      </w:r>
      <w:r>
        <w:rPr>
          <w:rFonts w:hint="eastAsia" w:ascii="宋体" w:hAnsi="宋体"/>
        </w:rPr>
        <w:t>管理的机构和个人，依照《违反行政事业性收费和罚没收入收支两条线管理规定行政处分暂行规定》追究责任。</w:t>
      </w:r>
    </w:p>
    <w:p>
      <w:pPr>
        <w:ind w:firstLine="640" w:firstLineChars="200"/>
        <w:rPr>
          <w:rFonts w:ascii="宋体"/>
        </w:rPr>
      </w:pPr>
      <w:r>
        <w:rPr>
          <w:rFonts w:hint="eastAsia" w:ascii="宋体" w:hAnsi="宋体" w:eastAsia="黑体"/>
          <w:bCs/>
        </w:rPr>
        <w:t>第九条</w:t>
      </w:r>
      <w:r>
        <w:rPr>
          <w:rFonts w:hint="eastAsia" w:ascii="宋体" w:hAnsi="宋体"/>
          <w:b/>
        </w:rPr>
        <w:t>　</w:t>
      </w:r>
      <w:r>
        <w:rPr>
          <w:rFonts w:hint="eastAsia" w:ascii="宋体" w:hAnsi="宋体"/>
        </w:rPr>
        <w:t>本办法自公布之日起施行。</w:t>
      </w:r>
    </w:p>
    <w:p>
      <w:pPr>
        <w:pStyle w:val="4"/>
        <w:spacing w:before="156"/>
        <w:ind w:firstLine="640" w:firstLineChars="200"/>
        <w:rPr>
          <w:rFonts w:ascii="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ind w:left="4800" w:leftChars="1500" w:firstLine="5760" w:firstLineChars="18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国家安全生产监督管理局（国家煤矿安全监察局）发布</w:t>
    </w:r>
  </w:p>
  <w:p>
    <w:pPr>
      <w:pStyle w:val="9"/>
      <w:wordWrap w:val="0"/>
      <w:ind w:left="7296"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国家安全生产监督管理局（国家煤矿安全监察局）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131440"/>
    <w:rsid w:val="00172A27"/>
    <w:rsid w:val="001D76DE"/>
    <w:rsid w:val="00423666"/>
    <w:rsid w:val="004734CE"/>
    <w:rsid w:val="004C3D25"/>
    <w:rsid w:val="007F7D33"/>
    <w:rsid w:val="008A2B0A"/>
    <w:rsid w:val="00913C52"/>
    <w:rsid w:val="009C6A8C"/>
    <w:rsid w:val="00A1751B"/>
    <w:rsid w:val="00A44DBF"/>
    <w:rsid w:val="00A6166E"/>
    <w:rsid w:val="00BD4084"/>
    <w:rsid w:val="00DF50B2"/>
    <w:rsid w:val="00E649EB"/>
    <w:rsid w:val="00F84C7A"/>
    <w:rsid w:val="019E71BD"/>
    <w:rsid w:val="04B679C3"/>
    <w:rsid w:val="080F63D8"/>
    <w:rsid w:val="09341458"/>
    <w:rsid w:val="0B0912D7"/>
    <w:rsid w:val="152D2DCA"/>
    <w:rsid w:val="1DEC284C"/>
    <w:rsid w:val="1E6523AC"/>
    <w:rsid w:val="1F0B0FB3"/>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4">
    <w:name w:val="heading 3"/>
    <w:basedOn w:val="1"/>
    <w:next w:val="1"/>
    <w:link w:val="14"/>
    <w:qFormat/>
    <w:uiPriority w:val="0"/>
    <w:pPr>
      <w:spacing w:before="50" w:beforeLines="50" w:after="240"/>
      <w:jc w:val="center"/>
      <w:outlineLvl w:val="2"/>
    </w:pPr>
    <w:rPr>
      <w:rFonts w:ascii="Cambria" w:hAnsi="Cambria" w:eastAsia="黑体"/>
      <w:bCs/>
    </w:rPr>
  </w:style>
  <w:style w:type="paragraph" w:styleId="5">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caption"/>
    <w:basedOn w:val="1"/>
    <w:next w:val="1"/>
    <w:qFormat/>
    <w:uiPriority w:val="0"/>
    <w:pPr>
      <w:spacing w:beforeLines="50" w:afterLines="100"/>
    </w:pPr>
    <w:rPr>
      <w:rFonts w:eastAsia="楷体"/>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6"/>
    <w:qFormat/>
    <w:uiPriority w:val="0"/>
    <w:pPr>
      <w:spacing w:before="240" w:after="60" w:line="312" w:lineRule="auto"/>
      <w:jc w:val="center"/>
      <w:outlineLvl w:val="1"/>
    </w:pPr>
    <w:rPr>
      <w:rFonts w:eastAsia="黑体"/>
      <w:bCs/>
      <w:kern w:val="28"/>
      <w:szCs w:val="32"/>
    </w:rPr>
  </w:style>
  <w:style w:type="paragraph" w:styleId="11">
    <w:name w:val="Title"/>
    <w:basedOn w:val="1"/>
    <w:next w:val="1"/>
    <w:link w:val="17"/>
    <w:qFormat/>
    <w:uiPriority w:val="0"/>
    <w:pPr>
      <w:spacing w:before="240" w:after="60"/>
      <w:jc w:val="center"/>
      <w:outlineLvl w:val="0"/>
    </w:pPr>
    <w:rPr>
      <w:rFonts w:asciiTheme="majorHAnsi" w:hAnsiTheme="majorHAnsi" w:eastAsiaTheme="majorEastAsia" w:cstheme="majorBidi"/>
      <w:b/>
      <w:bCs/>
      <w:szCs w:val="32"/>
    </w:rPr>
  </w:style>
  <w:style w:type="character" w:customStyle="1" w:styleId="14">
    <w:name w:val="标题 3 字符"/>
    <w:link w:val="4"/>
    <w:qFormat/>
    <w:uiPriority w:val="0"/>
    <w:rPr>
      <w:rFonts w:ascii="Cambria" w:hAnsi="Cambria" w:eastAsia="黑体"/>
      <w:bCs/>
      <w:sz w:val="32"/>
    </w:rPr>
  </w:style>
  <w:style w:type="character" w:customStyle="1" w:styleId="15">
    <w:name w:val="标题 4 字符"/>
    <w:basedOn w:val="13"/>
    <w:link w:val="5"/>
    <w:semiHidden/>
    <w:uiPriority w:val="0"/>
    <w:rPr>
      <w:rFonts w:asciiTheme="majorHAnsi" w:hAnsiTheme="majorHAnsi" w:eastAsiaTheme="majorEastAsia" w:cstheme="majorBidi"/>
      <w:b/>
      <w:bCs/>
      <w:kern w:val="2"/>
      <w:sz w:val="28"/>
      <w:szCs w:val="28"/>
    </w:rPr>
  </w:style>
  <w:style w:type="character" w:customStyle="1" w:styleId="16">
    <w:name w:val="副标题 字符"/>
    <w:basedOn w:val="13"/>
    <w:link w:val="10"/>
    <w:qFormat/>
    <w:uiPriority w:val="0"/>
    <w:rPr>
      <w:rFonts w:eastAsia="黑体" w:asciiTheme="minorHAnsi" w:hAnsiTheme="minorHAnsi" w:cstheme="minorBidi"/>
      <w:bCs/>
      <w:kern w:val="28"/>
      <w:sz w:val="32"/>
      <w:szCs w:val="32"/>
    </w:rPr>
  </w:style>
  <w:style w:type="character" w:customStyle="1" w:styleId="17">
    <w:name w:val="标题 字符"/>
    <w:basedOn w:val="13"/>
    <w:link w:val="11"/>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9FF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153</Words>
  <Characters>875</Characters>
  <Lines>7</Lines>
  <Paragraphs>2</Paragraphs>
  <TotalTime>1</TotalTime>
  <ScaleCrop>false</ScaleCrop>
  <LinksUpToDate>false</LinksUpToDate>
  <CharactersWithSpaces>1026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2021-11-26T03:23:00Z</dcterms:created>
  <dc:creator>t</dc:creator>
  <cp:lastModifiedBy>奔跑的鸡毛掸子</cp:lastModifiedBy>
  <cp:lastPrinted>2021-10-26T03:30:00Z</cp:lastPrinted>
  <dcterms:modified xsi:type="dcterms:W3CDTF">2021-12-02T04:37:45Z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6674706C082943AD966BDCB5820E2966</vt:lpwstr>
  </property>
</Properties>
</file>